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D28" w:rsidRPr="008563CE" w:rsidRDefault="007C0D28" w:rsidP="008563CE">
      <w:pPr>
        <w:spacing w:line="480" w:lineRule="auto"/>
        <w:rPr>
          <w:rFonts w:ascii="Times New Roman" w:hAnsi="Times New Roman" w:cs="Times New Roman"/>
          <w:sz w:val="24"/>
          <w:szCs w:val="24"/>
        </w:rPr>
      </w:pPr>
    </w:p>
    <w:p w:rsidR="007C0D28" w:rsidRPr="008563CE" w:rsidRDefault="007C0D28" w:rsidP="008563CE">
      <w:pPr>
        <w:spacing w:line="480" w:lineRule="auto"/>
        <w:rPr>
          <w:rFonts w:ascii="Times New Roman" w:hAnsi="Times New Roman" w:cs="Times New Roman"/>
          <w:sz w:val="24"/>
          <w:szCs w:val="24"/>
        </w:rPr>
      </w:pPr>
    </w:p>
    <w:p w:rsidR="007C0D28" w:rsidRPr="008563CE" w:rsidRDefault="007C0D28" w:rsidP="008563CE">
      <w:pPr>
        <w:spacing w:line="480" w:lineRule="auto"/>
        <w:rPr>
          <w:rFonts w:ascii="Times New Roman" w:hAnsi="Times New Roman" w:cs="Times New Roman"/>
          <w:sz w:val="24"/>
          <w:szCs w:val="24"/>
        </w:rPr>
      </w:pPr>
    </w:p>
    <w:p w:rsidR="007C0D28" w:rsidRPr="008563CE" w:rsidRDefault="007C0D28" w:rsidP="008563CE">
      <w:pPr>
        <w:spacing w:line="480" w:lineRule="auto"/>
        <w:rPr>
          <w:rFonts w:ascii="Times New Roman" w:hAnsi="Times New Roman" w:cs="Times New Roman"/>
          <w:sz w:val="24"/>
          <w:szCs w:val="24"/>
        </w:rPr>
      </w:pPr>
    </w:p>
    <w:p w:rsidR="007C0D28" w:rsidRPr="008563CE" w:rsidRDefault="007C0D28" w:rsidP="008563CE">
      <w:pPr>
        <w:spacing w:line="480" w:lineRule="auto"/>
        <w:rPr>
          <w:rFonts w:ascii="Times New Roman" w:hAnsi="Times New Roman" w:cs="Times New Roman"/>
          <w:sz w:val="24"/>
          <w:szCs w:val="24"/>
        </w:rPr>
      </w:pPr>
    </w:p>
    <w:p w:rsidR="007C0D28" w:rsidRPr="008563CE" w:rsidRDefault="007C0D28" w:rsidP="008563CE">
      <w:pPr>
        <w:spacing w:line="480" w:lineRule="auto"/>
        <w:rPr>
          <w:rFonts w:ascii="Times New Roman" w:hAnsi="Times New Roman" w:cs="Times New Roman"/>
          <w:sz w:val="24"/>
          <w:szCs w:val="24"/>
        </w:rPr>
      </w:pPr>
    </w:p>
    <w:p w:rsidR="007C0D28" w:rsidRPr="008563CE" w:rsidRDefault="007C0D28" w:rsidP="008563CE">
      <w:pPr>
        <w:spacing w:line="480" w:lineRule="auto"/>
        <w:rPr>
          <w:rFonts w:ascii="Times New Roman" w:hAnsi="Times New Roman" w:cs="Times New Roman"/>
          <w:sz w:val="24"/>
          <w:szCs w:val="24"/>
        </w:rPr>
      </w:pPr>
    </w:p>
    <w:p w:rsidR="007C0D28" w:rsidRPr="008563CE" w:rsidRDefault="007C0D28" w:rsidP="008563CE">
      <w:pPr>
        <w:spacing w:line="480" w:lineRule="auto"/>
        <w:jc w:val="center"/>
        <w:rPr>
          <w:rFonts w:ascii="Times New Roman" w:hAnsi="Times New Roman" w:cs="Times New Roman"/>
          <w:sz w:val="24"/>
          <w:szCs w:val="24"/>
        </w:rPr>
      </w:pPr>
      <w:r w:rsidRPr="008563CE">
        <w:rPr>
          <w:rFonts w:ascii="Times New Roman" w:hAnsi="Times New Roman" w:cs="Times New Roman"/>
          <w:sz w:val="24"/>
          <w:szCs w:val="24"/>
        </w:rPr>
        <w:t>Simkins v. Moses H. Cone Memorial Hospital</w:t>
      </w:r>
    </w:p>
    <w:p w:rsidR="007C0D28" w:rsidRPr="008563CE" w:rsidRDefault="007C0D28" w:rsidP="008563CE">
      <w:pPr>
        <w:spacing w:line="480" w:lineRule="auto"/>
        <w:jc w:val="center"/>
        <w:rPr>
          <w:rFonts w:ascii="Times New Roman" w:hAnsi="Times New Roman" w:cs="Times New Roman"/>
          <w:sz w:val="24"/>
          <w:szCs w:val="24"/>
        </w:rPr>
      </w:pPr>
      <w:r w:rsidRPr="008563CE">
        <w:rPr>
          <w:rFonts w:ascii="Times New Roman" w:hAnsi="Times New Roman" w:cs="Times New Roman"/>
          <w:sz w:val="24"/>
          <w:szCs w:val="24"/>
        </w:rPr>
        <w:t>Name</w:t>
      </w:r>
    </w:p>
    <w:p w:rsidR="007C0D28" w:rsidRPr="008563CE" w:rsidRDefault="007C0D28" w:rsidP="008563CE">
      <w:pPr>
        <w:spacing w:line="480" w:lineRule="auto"/>
        <w:jc w:val="center"/>
        <w:rPr>
          <w:rFonts w:ascii="Times New Roman" w:hAnsi="Times New Roman" w:cs="Times New Roman"/>
          <w:sz w:val="24"/>
          <w:szCs w:val="24"/>
        </w:rPr>
      </w:pPr>
      <w:r w:rsidRPr="008563CE">
        <w:rPr>
          <w:rFonts w:ascii="Times New Roman" w:hAnsi="Times New Roman" w:cs="Times New Roman"/>
          <w:sz w:val="24"/>
          <w:szCs w:val="24"/>
        </w:rPr>
        <w:t>Institution</w:t>
      </w:r>
    </w:p>
    <w:p w:rsidR="007C0D28" w:rsidRPr="008563CE" w:rsidRDefault="007C0D28" w:rsidP="008563CE">
      <w:pPr>
        <w:spacing w:line="480" w:lineRule="auto"/>
        <w:jc w:val="center"/>
        <w:rPr>
          <w:rFonts w:ascii="Times New Roman" w:hAnsi="Times New Roman" w:cs="Times New Roman"/>
          <w:sz w:val="24"/>
          <w:szCs w:val="24"/>
        </w:rPr>
      </w:pPr>
      <w:r w:rsidRPr="008563CE">
        <w:rPr>
          <w:rFonts w:ascii="Times New Roman" w:hAnsi="Times New Roman" w:cs="Times New Roman"/>
          <w:sz w:val="24"/>
          <w:szCs w:val="24"/>
        </w:rPr>
        <w:t>Date</w:t>
      </w:r>
    </w:p>
    <w:p w:rsidR="007C0D28" w:rsidRPr="008563CE" w:rsidRDefault="007C0D28" w:rsidP="008563CE">
      <w:pPr>
        <w:spacing w:line="480" w:lineRule="auto"/>
        <w:rPr>
          <w:rFonts w:ascii="Times New Roman" w:hAnsi="Times New Roman" w:cs="Times New Roman"/>
          <w:sz w:val="24"/>
          <w:szCs w:val="24"/>
        </w:rPr>
      </w:pPr>
    </w:p>
    <w:p w:rsidR="007C0D28" w:rsidRPr="008563CE" w:rsidRDefault="007C0D28" w:rsidP="008563CE">
      <w:pPr>
        <w:spacing w:line="480" w:lineRule="auto"/>
        <w:rPr>
          <w:rFonts w:ascii="Times New Roman" w:hAnsi="Times New Roman" w:cs="Times New Roman"/>
          <w:sz w:val="24"/>
          <w:szCs w:val="24"/>
        </w:rPr>
      </w:pPr>
    </w:p>
    <w:p w:rsidR="007C0D28" w:rsidRPr="008563CE" w:rsidRDefault="007C0D28" w:rsidP="008563CE">
      <w:pPr>
        <w:spacing w:line="480" w:lineRule="auto"/>
        <w:rPr>
          <w:rFonts w:ascii="Times New Roman" w:hAnsi="Times New Roman" w:cs="Times New Roman"/>
          <w:sz w:val="24"/>
          <w:szCs w:val="24"/>
        </w:rPr>
      </w:pPr>
    </w:p>
    <w:p w:rsidR="007C0D28" w:rsidRPr="008563CE" w:rsidRDefault="007C0D28" w:rsidP="008563CE">
      <w:pPr>
        <w:spacing w:line="480" w:lineRule="auto"/>
        <w:rPr>
          <w:rFonts w:ascii="Times New Roman" w:hAnsi="Times New Roman" w:cs="Times New Roman"/>
          <w:sz w:val="24"/>
          <w:szCs w:val="24"/>
        </w:rPr>
      </w:pPr>
    </w:p>
    <w:p w:rsidR="007C0D28" w:rsidRPr="008563CE" w:rsidRDefault="007C0D28" w:rsidP="008563CE">
      <w:pPr>
        <w:spacing w:line="480" w:lineRule="auto"/>
        <w:rPr>
          <w:rFonts w:ascii="Times New Roman" w:hAnsi="Times New Roman" w:cs="Times New Roman"/>
          <w:sz w:val="24"/>
          <w:szCs w:val="24"/>
        </w:rPr>
      </w:pPr>
    </w:p>
    <w:p w:rsidR="007C0D28" w:rsidRPr="008563CE" w:rsidRDefault="007C0D28" w:rsidP="008563CE">
      <w:pPr>
        <w:spacing w:line="480" w:lineRule="auto"/>
        <w:rPr>
          <w:rFonts w:ascii="Times New Roman" w:hAnsi="Times New Roman" w:cs="Times New Roman"/>
          <w:sz w:val="24"/>
          <w:szCs w:val="24"/>
        </w:rPr>
      </w:pPr>
    </w:p>
    <w:p w:rsidR="008563CE" w:rsidRDefault="008563CE" w:rsidP="008563CE">
      <w:pPr>
        <w:spacing w:line="480" w:lineRule="auto"/>
        <w:jc w:val="center"/>
        <w:rPr>
          <w:rFonts w:ascii="Times New Roman" w:hAnsi="Times New Roman" w:cs="Times New Roman"/>
          <w:sz w:val="24"/>
          <w:szCs w:val="24"/>
        </w:rPr>
      </w:pPr>
    </w:p>
    <w:p w:rsidR="00D57ECE" w:rsidRPr="008563CE" w:rsidRDefault="00D57ECE" w:rsidP="008563CE">
      <w:pPr>
        <w:spacing w:line="480" w:lineRule="auto"/>
        <w:jc w:val="center"/>
        <w:rPr>
          <w:rFonts w:ascii="Times New Roman" w:hAnsi="Times New Roman" w:cs="Times New Roman"/>
          <w:sz w:val="24"/>
          <w:szCs w:val="24"/>
        </w:rPr>
      </w:pPr>
      <w:r w:rsidRPr="008563CE">
        <w:rPr>
          <w:rFonts w:ascii="Times New Roman" w:hAnsi="Times New Roman" w:cs="Times New Roman"/>
          <w:sz w:val="24"/>
          <w:szCs w:val="24"/>
        </w:rPr>
        <w:lastRenderedPageBreak/>
        <w:t>Simkins v. Moses H. Cone Memorial Hospital</w:t>
      </w:r>
    </w:p>
    <w:p w:rsidR="00D57ECE" w:rsidRPr="008563CE" w:rsidRDefault="00D57ECE" w:rsidP="008563CE">
      <w:pPr>
        <w:spacing w:line="480" w:lineRule="auto"/>
        <w:ind w:firstLine="720"/>
        <w:rPr>
          <w:rFonts w:ascii="Times New Roman" w:hAnsi="Times New Roman" w:cs="Times New Roman"/>
          <w:sz w:val="24"/>
          <w:szCs w:val="24"/>
        </w:rPr>
      </w:pPr>
      <w:r w:rsidRPr="008563CE">
        <w:rPr>
          <w:rFonts w:ascii="Times New Roman" w:hAnsi="Times New Roman" w:cs="Times New Roman"/>
          <w:sz w:val="24"/>
          <w:szCs w:val="24"/>
        </w:rPr>
        <w:t>George Simkins filed the case of Simkins v. Moses H. Cone Memorial Hospital in February of 1962, and at this time, racial segregation was experienced in the state of North Carolina. Simkins was a dentist and leader of the National Association for the Advancement of Colored People (NAACP). While on duty, Simkins received a patient, an African-American who had an abscessed tooth infection, and the dentist realized that the patient needed urgent medical attention. Tu (2018), notes that the local healthcare centers that could have accommodated the patient did not have sufficient space. Simkins decided to seek justice for the African-American and patient and, therefore, with the help of fellow medical professionals and NAACP, filed a suit. Simkins argued that Moses H. Cone Memorial Hospital was a beneficiary of the 2.8 million US Dollars and therefore was mandated by the constitution to ensure equal protection.</w:t>
      </w:r>
    </w:p>
    <w:p w:rsidR="00D57ECE" w:rsidRPr="008563CE" w:rsidRDefault="00D57ECE" w:rsidP="008563CE">
      <w:pPr>
        <w:spacing w:line="480" w:lineRule="auto"/>
        <w:ind w:firstLine="720"/>
        <w:rPr>
          <w:rFonts w:ascii="Times New Roman" w:hAnsi="Times New Roman" w:cs="Times New Roman"/>
          <w:sz w:val="24"/>
          <w:szCs w:val="24"/>
        </w:rPr>
      </w:pPr>
      <w:r w:rsidRPr="008563CE">
        <w:rPr>
          <w:rFonts w:ascii="Times New Roman" w:hAnsi="Times New Roman" w:cs="Times New Roman"/>
          <w:sz w:val="24"/>
          <w:szCs w:val="24"/>
        </w:rPr>
        <w:t xml:space="preserve">The district court where the suit had been filed, dismissed the case citing lack of state or federal involvement in the case. Simkins defied the ruling and applied for an appeal at the Fourth Circuit Court of Appeals. Fortunately, the Court of Appeals overturned the ruling of the district court on the legal basis that the hospitals were under the government, and therefore the activities of the hospitals were the activities of the government. Additionally, the Fourth Circuit Court abolished the Hill-Burton Act's provision of separate but equal segregated facilities on the grounds that it was unconstitutional. However, judges Haynsworth and Boreman disagreed with the ruling on the argument that the activities of the hospitals did not involve any state action. Afterward, the case was appealed at the Supreme Court, but the ruling of the Court of Appeal prevailed, but the Fourth Circuit ruling only affected jurisdiction that was covered by the Appeal Courts. Later on, in 1964, segregation on the basis of color, country of origin, and race were </w:t>
      </w:r>
      <w:r w:rsidRPr="008563CE">
        <w:rPr>
          <w:rFonts w:ascii="Times New Roman" w:hAnsi="Times New Roman" w:cs="Times New Roman"/>
          <w:sz w:val="24"/>
          <w:szCs w:val="24"/>
        </w:rPr>
        <w:lastRenderedPageBreak/>
        <w:t>abolished among agencies that were being funded by the state or federal governments (Halperin, 2019).</w:t>
      </w:r>
      <w:bookmarkStart w:id="0" w:name="_GoBack"/>
      <w:bookmarkEnd w:id="0"/>
    </w:p>
    <w:p w:rsidR="00D57ECE" w:rsidRPr="008563CE" w:rsidRDefault="00D57ECE" w:rsidP="008563CE">
      <w:pPr>
        <w:spacing w:line="480" w:lineRule="auto"/>
        <w:ind w:firstLine="720"/>
        <w:rPr>
          <w:rFonts w:ascii="Times New Roman" w:hAnsi="Times New Roman" w:cs="Times New Roman"/>
          <w:sz w:val="24"/>
          <w:szCs w:val="24"/>
        </w:rPr>
      </w:pPr>
      <w:r w:rsidRPr="008563CE">
        <w:rPr>
          <w:rFonts w:ascii="Times New Roman" w:hAnsi="Times New Roman" w:cs="Times New Roman"/>
          <w:sz w:val="24"/>
          <w:szCs w:val="24"/>
        </w:rPr>
        <w:t>Licensing laws are used positively when they allow for conducting of genuine operations, that is, operations that are recognized by the law. Genuine activities include; in hospitals that treat patients without segregation based on either color, race or nation of origin, in businesses that provide goods and services that promote the welfare of citizens and traders who ensures that their goods are of the highest quality and quantity to protect the interests of consumers and the traders should also ensure that customers are not exploited in terms of price (Law &amp; Marks, 2017). Additionally, licensing laws are used positively if they offer moral support and by ensuring that cases of criminal injustices, robbery with violence, prostitution, and phonography are minimized. Moreover, licensing laws are used positively if the licensed organizations offer better salaries and wages to their employees, provide equal promotion chances for all employees, and the owners of the organizations pay taxes to the government.</w:t>
      </w:r>
    </w:p>
    <w:p w:rsidR="00D57ECE" w:rsidRPr="008563CE" w:rsidRDefault="00D57ECE" w:rsidP="008563CE">
      <w:pPr>
        <w:spacing w:line="480" w:lineRule="auto"/>
        <w:ind w:firstLine="720"/>
        <w:rPr>
          <w:rFonts w:ascii="Times New Roman" w:hAnsi="Times New Roman" w:cs="Times New Roman"/>
          <w:sz w:val="24"/>
          <w:szCs w:val="24"/>
        </w:rPr>
      </w:pPr>
      <w:r w:rsidRPr="008563CE">
        <w:rPr>
          <w:rFonts w:ascii="Times New Roman" w:hAnsi="Times New Roman" w:cs="Times New Roman"/>
          <w:sz w:val="24"/>
          <w:szCs w:val="24"/>
        </w:rPr>
        <w:t xml:space="preserve">Licensing laws are used negatively when the licensed facilities practice segregation based on race, color, or nation of origin (Runst, 2018). For instance, in the case of Simkins v. Moses H. Cone Memorial Hospital, the hospital segregated the African-American patient on the basis of his or her color. The hospital also used licensing laws negatively because it was operating under the government, receiving state or federal funding, but it was not willing to offer medication to one of the state's citizens. Licensing laws may be used negatively if they permit for conducting illegal business such as dealing with illegal drugs such as heroin and cocaine, dealing with security-threat products such as firearms or selling of expired or harmful goods which pose a health risk to the customers. </w:t>
      </w:r>
    </w:p>
    <w:p w:rsidR="00D57ECE" w:rsidRPr="008563CE" w:rsidRDefault="007C0D28" w:rsidP="008563CE">
      <w:pPr>
        <w:spacing w:line="480" w:lineRule="auto"/>
        <w:ind w:firstLine="720"/>
        <w:rPr>
          <w:rFonts w:ascii="Times New Roman" w:hAnsi="Times New Roman" w:cs="Times New Roman"/>
          <w:sz w:val="24"/>
          <w:szCs w:val="24"/>
        </w:rPr>
      </w:pPr>
      <w:r w:rsidRPr="008563CE">
        <w:rPr>
          <w:rFonts w:ascii="Times New Roman" w:hAnsi="Times New Roman" w:cs="Times New Roman"/>
          <w:sz w:val="24"/>
          <w:szCs w:val="24"/>
        </w:rPr>
        <w:lastRenderedPageBreak/>
        <w:t>Tillich viewed</w:t>
      </w:r>
      <w:r w:rsidR="00D57ECE" w:rsidRPr="008563CE">
        <w:rPr>
          <w:rFonts w:ascii="Times New Roman" w:hAnsi="Times New Roman" w:cs="Times New Roman"/>
          <w:sz w:val="24"/>
          <w:szCs w:val="24"/>
        </w:rPr>
        <w:t xml:space="preserve"> love as the driving force for reunion </w:t>
      </w:r>
      <w:r w:rsidRPr="008563CE">
        <w:rPr>
          <w:rFonts w:ascii="Times New Roman" w:hAnsi="Times New Roman" w:cs="Times New Roman"/>
          <w:sz w:val="24"/>
          <w:szCs w:val="24"/>
        </w:rPr>
        <w:t xml:space="preserve">and estrangement. Tillich stated that human beings were </w:t>
      </w:r>
      <w:r w:rsidR="00D57ECE" w:rsidRPr="008563CE">
        <w:rPr>
          <w:rFonts w:ascii="Times New Roman" w:hAnsi="Times New Roman" w:cs="Times New Roman"/>
          <w:sz w:val="24"/>
          <w:szCs w:val="24"/>
        </w:rPr>
        <w:t>still exi</w:t>
      </w:r>
      <w:r w:rsidRPr="008563CE">
        <w:rPr>
          <w:rFonts w:ascii="Times New Roman" w:hAnsi="Times New Roman" w:cs="Times New Roman"/>
          <w:sz w:val="24"/>
          <w:szCs w:val="24"/>
        </w:rPr>
        <w:t>sting, and as a result, they were</w:t>
      </w:r>
      <w:r w:rsidR="00D57ECE" w:rsidRPr="008563CE">
        <w:rPr>
          <w:rFonts w:ascii="Times New Roman" w:hAnsi="Times New Roman" w:cs="Times New Roman"/>
          <w:sz w:val="24"/>
          <w:szCs w:val="24"/>
        </w:rPr>
        <w:t xml:space="preserve"> experiencing isolation from o</w:t>
      </w:r>
      <w:r w:rsidRPr="008563CE">
        <w:rPr>
          <w:rFonts w:ascii="Times New Roman" w:hAnsi="Times New Roman" w:cs="Times New Roman"/>
          <w:sz w:val="24"/>
          <w:szCs w:val="24"/>
        </w:rPr>
        <w:t>ther beings, and he acknowledged</w:t>
      </w:r>
      <w:r w:rsidR="00D57ECE" w:rsidRPr="008563CE">
        <w:rPr>
          <w:rFonts w:ascii="Times New Roman" w:hAnsi="Times New Roman" w:cs="Times New Roman"/>
          <w:sz w:val="24"/>
          <w:szCs w:val="24"/>
        </w:rPr>
        <w:t xml:space="preserve"> that love is what holds that which is separa</w:t>
      </w:r>
      <w:r w:rsidRPr="008563CE">
        <w:rPr>
          <w:rFonts w:ascii="Times New Roman" w:hAnsi="Times New Roman" w:cs="Times New Roman"/>
          <w:sz w:val="24"/>
          <w:szCs w:val="24"/>
        </w:rPr>
        <w:t>ted together. Tillich also noted that where there was a reunion, love found</w:t>
      </w:r>
      <w:r w:rsidR="00D57ECE" w:rsidRPr="008563CE">
        <w:rPr>
          <w:rFonts w:ascii="Times New Roman" w:hAnsi="Times New Roman" w:cs="Times New Roman"/>
          <w:sz w:val="24"/>
          <w:szCs w:val="24"/>
        </w:rPr>
        <w:t xml:space="preserve"> its way. Ac</w:t>
      </w:r>
      <w:r w:rsidRPr="008563CE">
        <w:rPr>
          <w:rFonts w:ascii="Times New Roman" w:hAnsi="Times New Roman" w:cs="Times New Roman"/>
          <w:sz w:val="24"/>
          <w:szCs w:val="24"/>
        </w:rPr>
        <w:t>cording to Tillich, power existed whenever one being encountered</w:t>
      </w:r>
      <w:r w:rsidR="00D57ECE" w:rsidRPr="008563CE">
        <w:rPr>
          <w:rFonts w:ascii="Times New Roman" w:hAnsi="Times New Roman" w:cs="Times New Roman"/>
          <w:sz w:val="24"/>
          <w:szCs w:val="24"/>
        </w:rPr>
        <w:t xml:space="preserve"> anot</w:t>
      </w:r>
      <w:r w:rsidRPr="008563CE">
        <w:rPr>
          <w:rFonts w:ascii="Times New Roman" w:hAnsi="Times New Roman" w:cs="Times New Roman"/>
          <w:sz w:val="24"/>
          <w:szCs w:val="24"/>
        </w:rPr>
        <w:t>her and was made real when there was</w:t>
      </w:r>
      <w:r w:rsidR="00D57ECE" w:rsidRPr="008563CE">
        <w:rPr>
          <w:rFonts w:ascii="Times New Roman" w:hAnsi="Times New Roman" w:cs="Times New Roman"/>
          <w:sz w:val="24"/>
          <w:szCs w:val="24"/>
        </w:rPr>
        <w:t xml:space="preserve"> li</w:t>
      </w:r>
      <w:r w:rsidRPr="008563CE">
        <w:rPr>
          <w:rFonts w:ascii="Times New Roman" w:hAnsi="Times New Roman" w:cs="Times New Roman"/>
          <w:sz w:val="24"/>
          <w:szCs w:val="24"/>
        </w:rPr>
        <w:t>fe confrontations, which resulted</w:t>
      </w:r>
      <w:r w:rsidR="00D57ECE" w:rsidRPr="008563CE">
        <w:rPr>
          <w:rFonts w:ascii="Times New Roman" w:hAnsi="Times New Roman" w:cs="Times New Roman"/>
          <w:sz w:val="24"/>
          <w:szCs w:val="24"/>
        </w:rPr>
        <w:t xml:space="preserve"> in self-affirma</w:t>
      </w:r>
      <w:r w:rsidRPr="008563CE">
        <w:rPr>
          <w:rFonts w:ascii="Times New Roman" w:hAnsi="Times New Roman" w:cs="Times New Roman"/>
          <w:sz w:val="24"/>
          <w:szCs w:val="24"/>
        </w:rPr>
        <w:t>tion. Influence or authority were</w:t>
      </w:r>
      <w:r w:rsidR="00D57ECE" w:rsidRPr="008563CE">
        <w:rPr>
          <w:rFonts w:ascii="Times New Roman" w:hAnsi="Times New Roman" w:cs="Times New Roman"/>
          <w:sz w:val="24"/>
          <w:szCs w:val="24"/>
        </w:rPr>
        <w:t xml:space="preserve"> key factors that wer</w:t>
      </w:r>
      <w:r w:rsidRPr="008563CE">
        <w:rPr>
          <w:rFonts w:ascii="Times New Roman" w:hAnsi="Times New Roman" w:cs="Times New Roman"/>
          <w:sz w:val="24"/>
          <w:szCs w:val="24"/>
        </w:rPr>
        <w:t>e used by Tillich to explain</w:t>
      </w:r>
      <w:r w:rsidR="00D57ECE" w:rsidRPr="008563CE">
        <w:rPr>
          <w:rFonts w:ascii="Times New Roman" w:hAnsi="Times New Roman" w:cs="Times New Roman"/>
          <w:sz w:val="24"/>
          <w:szCs w:val="24"/>
        </w:rPr>
        <w:t xml:space="preserve"> power, and he stated that whenever power manifested itself, there was some form of influence </w:t>
      </w:r>
      <w:r w:rsidRPr="008563CE">
        <w:rPr>
          <w:rFonts w:ascii="Times New Roman" w:hAnsi="Times New Roman" w:cs="Times New Roman"/>
          <w:sz w:val="24"/>
          <w:szCs w:val="24"/>
        </w:rPr>
        <w:t>or authority. In power, there was a use of force by those who were</w:t>
      </w:r>
      <w:r w:rsidR="00D57ECE" w:rsidRPr="008563CE">
        <w:rPr>
          <w:rFonts w:ascii="Times New Roman" w:hAnsi="Times New Roman" w:cs="Times New Roman"/>
          <w:sz w:val="24"/>
          <w:szCs w:val="24"/>
        </w:rPr>
        <w:t xml:space="preserve"> in authority or those who want</w:t>
      </w:r>
      <w:r w:rsidRPr="008563CE">
        <w:rPr>
          <w:rFonts w:ascii="Times New Roman" w:hAnsi="Times New Roman" w:cs="Times New Roman"/>
          <w:sz w:val="24"/>
          <w:szCs w:val="24"/>
        </w:rPr>
        <w:t>ed</w:t>
      </w:r>
      <w:r w:rsidR="00D57ECE" w:rsidRPr="008563CE">
        <w:rPr>
          <w:rFonts w:ascii="Times New Roman" w:hAnsi="Times New Roman" w:cs="Times New Roman"/>
          <w:sz w:val="24"/>
          <w:szCs w:val="24"/>
        </w:rPr>
        <w:t xml:space="preserve"> influence. Tillich acknowledged that justice was the means through which the power of being made itself actual. All beings are beings, and justice is violated when this claim is disregarded, and justice holds what is reunited by love</w:t>
      </w:r>
      <w:r w:rsidRPr="008563CE">
        <w:rPr>
          <w:rFonts w:ascii="Times New Roman" w:hAnsi="Times New Roman" w:cs="Times New Roman"/>
          <w:sz w:val="24"/>
          <w:szCs w:val="24"/>
        </w:rPr>
        <w:t xml:space="preserve"> (Dorrien, 2018)</w:t>
      </w:r>
      <w:r w:rsidR="00D57ECE" w:rsidRPr="008563CE">
        <w:rPr>
          <w:rFonts w:ascii="Times New Roman" w:hAnsi="Times New Roman" w:cs="Times New Roman"/>
          <w:sz w:val="24"/>
          <w:szCs w:val="24"/>
        </w:rPr>
        <w:t>.</w:t>
      </w:r>
    </w:p>
    <w:p w:rsidR="007C0D28" w:rsidRPr="008563CE" w:rsidRDefault="007C0D28" w:rsidP="008563CE">
      <w:pPr>
        <w:spacing w:line="480" w:lineRule="auto"/>
        <w:ind w:left="720" w:hanging="720"/>
        <w:rPr>
          <w:rFonts w:ascii="Times New Roman" w:hAnsi="Times New Roman" w:cs="Times New Roman"/>
          <w:sz w:val="24"/>
          <w:szCs w:val="24"/>
        </w:rPr>
      </w:pPr>
    </w:p>
    <w:p w:rsidR="008563CE" w:rsidRDefault="008563CE" w:rsidP="008563CE">
      <w:pPr>
        <w:spacing w:line="480" w:lineRule="auto"/>
        <w:ind w:left="720" w:hanging="720"/>
        <w:rPr>
          <w:rFonts w:ascii="Times New Roman" w:hAnsi="Times New Roman" w:cs="Times New Roman"/>
          <w:sz w:val="24"/>
          <w:szCs w:val="24"/>
        </w:rPr>
      </w:pPr>
    </w:p>
    <w:p w:rsidR="008563CE" w:rsidRDefault="008563CE" w:rsidP="008563CE">
      <w:pPr>
        <w:spacing w:line="480" w:lineRule="auto"/>
        <w:ind w:left="720" w:hanging="720"/>
        <w:rPr>
          <w:rFonts w:ascii="Times New Roman" w:hAnsi="Times New Roman" w:cs="Times New Roman"/>
          <w:sz w:val="24"/>
          <w:szCs w:val="24"/>
        </w:rPr>
      </w:pPr>
    </w:p>
    <w:p w:rsidR="008563CE" w:rsidRDefault="008563CE" w:rsidP="008563CE">
      <w:pPr>
        <w:spacing w:line="480" w:lineRule="auto"/>
        <w:ind w:left="720" w:hanging="720"/>
        <w:rPr>
          <w:rFonts w:ascii="Times New Roman" w:hAnsi="Times New Roman" w:cs="Times New Roman"/>
          <w:sz w:val="24"/>
          <w:szCs w:val="24"/>
        </w:rPr>
      </w:pPr>
    </w:p>
    <w:p w:rsidR="008563CE" w:rsidRDefault="008563CE" w:rsidP="008563CE">
      <w:pPr>
        <w:spacing w:line="480" w:lineRule="auto"/>
        <w:ind w:left="720" w:hanging="720"/>
        <w:rPr>
          <w:rFonts w:ascii="Times New Roman" w:hAnsi="Times New Roman" w:cs="Times New Roman"/>
          <w:sz w:val="24"/>
          <w:szCs w:val="24"/>
        </w:rPr>
      </w:pPr>
    </w:p>
    <w:p w:rsidR="008563CE" w:rsidRDefault="008563CE" w:rsidP="008563CE">
      <w:pPr>
        <w:spacing w:line="480" w:lineRule="auto"/>
        <w:ind w:left="720" w:hanging="720"/>
        <w:rPr>
          <w:rFonts w:ascii="Times New Roman" w:hAnsi="Times New Roman" w:cs="Times New Roman"/>
          <w:sz w:val="24"/>
          <w:szCs w:val="24"/>
        </w:rPr>
      </w:pPr>
    </w:p>
    <w:p w:rsidR="008563CE" w:rsidRDefault="008563CE" w:rsidP="008563CE">
      <w:pPr>
        <w:spacing w:line="480" w:lineRule="auto"/>
        <w:ind w:left="720" w:hanging="720"/>
        <w:rPr>
          <w:rFonts w:ascii="Times New Roman" w:hAnsi="Times New Roman" w:cs="Times New Roman"/>
          <w:sz w:val="24"/>
          <w:szCs w:val="24"/>
        </w:rPr>
      </w:pPr>
    </w:p>
    <w:p w:rsidR="008563CE" w:rsidRDefault="008563CE" w:rsidP="008563CE">
      <w:pPr>
        <w:spacing w:line="480" w:lineRule="auto"/>
        <w:ind w:left="720" w:hanging="720"/>
        <w:rPr>
          <w:rFonts w:ascii="Times New Roman" w:hAnsi="Times New Roman" w:cs="Times New Roman"/>
          <w:sz w:val="24"/>
          <w:szCs w:val="24"/>
        </w:rPr>
      </w:pPr>
    </w:p>
    <w:p w:rsidR="008563CE" w:rsidRDefault="008563CE" w:rsidP="008563CE">
      <w:pPr>
        <w:spacing w:line="480" w:lineRule="auto"/>
        <w:ind w:left="720" w:hanging="720"/>
        <w:rPr>
          <w:rFonts w:ascii="Times New Roman" w:hAnsi="Times New Roman" w:cs="Times New Roman"/>
          <w:sz w:val="24"/>
          <w:szCs w:val="24"/>
        </w:rPr>
      </w:pPr>
    </w:p>
    <w:p w:rsidR="008563CE" w:rsidRDefault="008563CE" w:rsidP="008563CE">
      <w:pPr>
        <w:spacing w:line="480" w:lineRule="auto"/>
        <w:ind w:left="720" w:hanging="720"/>
        <w:rPr>
          <w:rFonts w:ascii="Times New Roman" w:hAnsi="Times New Roman" w:cs="Times New Roman"/>
          <w:sz w:val="24"/>
          <w:szCs w:val="24"/>
        </w:rPr>
      </w:pPr>
    </w:p>
    <w:p w:rsidR="007C0D28" w:rsidRPr="008563CE" w:rsidRDefault="007C0D28" w:rsidP="008563CE">
      <w:pPr>
        <w:spacing w:line="480" w:lineRule="auto"/>
        <w:ind w:left="720" w:hanging="720"/>
        <w:jc w:val="center"/>
        <w:rPr>
          <w:rFonts w:ascii="Times New Roman" w:hAnsi="Times New Roman" w:cs="Times New Roman"/>
          <w:sz w:val="24"/>
          <w:szCs w:val="24"/>
        </w:rPr>
      </w:pPr>
      <w:r w:rsidRPr="008563CE">
        <w:rPr>
          <w:rFonts w:ascii="Times New Roman" w:hAnsi="Times New Roman" w:cs="Times New Roman"/>
          <w:sz w:val="24"/>
          <w:szCs w:val="24"/>
        </w:rPr>
        <w:lastRenderedPageBreak/>
        <w:t>References</w:t>
      </w:r>
    </w:p>
    <w:p w:rsidR="007C0D28" w:rsidRPr="008563CE" w:rsidRDefault="007C0D28" w:rsidP="008563CE">
      <w:pPr>
        <w:spacing w:line="480" w:lineRule="auto"/>
        <w:ind w:left="720" w:hanging="720"/>
        <w:rPr>
          <w:rFonts w:ascii="Times New Roman" w:hAnsi="Times New Roman" w:cs="Times New Roman"/>
          <w:sz w:val="24"/>
          <w:szCs w:val="24"/>
        </w:rPr>
      </w:pPr>
      <w:r w:rsidRPr="008563CE">
        <w:rPr>
          <w:rFonts w:ascii="Times New Roman" w:hAnsi="Times New Roman" w:cs="Times New Roman"/>
          <w:sz w:val="24"/>
          <w:szCs w:val="24"/>
        </w:rPr>
        <w:t xml:space="preserve">Dorrien, G. (2018). </w:t>
      </w:r>
      <w:r w:rsidRPr="008563CE">
        <w:rPr>
          <w:rFonts w:ascii="Times New Roman" w:hAnsi="Times New Roman" w:cs="Times New Roman"/>
          <w:i/>
          <w:sz w:val="24"/>
          <w:szCs w:val="24"/>
        </w:rPr>
        <w:t>Religious Socialism, Paul Tillich, and the Abyss of Estrangeme</w:t>
      </w:r>
      <w:r w:rsidRPr="008563CE">
        <w:rPr>
          <w:rFonts w:ascii="Times New Roman" w:hAnsi="Times New Roman" w:cs="Times New Roman"/>
          <w:sz w:val="24"/>
          <w:szCs w:val="24"/>
        </w:rPr>
        <w:t>nt. Social Research: An International Quarterly.</w:t>
      </w:r>
    </w:p>
    <w:p w:rsidR="007C0D28" w:rsidRPr="008563CE" w:rsidRDefault="007C0D28" w:rsidP="008563CE">
      <w:pPr>
        <w:spacing w:line="480" w:lineRule="auto"/>
        <w:ind w:left="720" w:hanging="720"/>
        <w:rPr>
          <w:rFonts w:ascii="Times New Roman" w:hAnsi="Times New Roman" w:cs="Times New Roman"/>
          <w:sz w:val="24"/>
          <w:szCs w:val="24"/>
        </w:rPr>
      </w:pPr>
      <w:r w:rsidRPr="008563CE">
        <w:rPr>
          <w:rFonts w:ascii="Times New Roman" w:hAnsi="Times New Roman" w:cs="Times New Roman"/>
          <w:sz w:val="24"/>
          <w:szCs w:val="24"/>
        </w:rPr>
        <w:t>Halperin, E. C. (2019).</w:t>
      </w:r>
      <w:r w:rsidRPr="008563CE">
        <w:rPr>
          <w:rFonts w:ascii="Times New Roman" w:hAnsi="Times New Roman" w:cs="Times New Roman"/>
          <w:i/>
          <w:sz w:val="24"/>
          <w:szCs w:val="24"/>
        </w:rPr>
        <w:t xml:space="preserve"> Five Transformative Episodes in the History of the American Hospital</w:t>
      </w:r>
      <w:r w:rsidRPr="008563CE">
        <w:rPr>
          <w:rFonts w:ascii="Times New Roman" w:hAnsi="Times New Roman" w:cs="Times New Roman"/>
          <w:sz w:val="24"/>
          <w:szCs w:val="24"/>
        </w:rPr>
        <w:t>. In The Modern Hospital (pp. 9-21). Springer, Cham.</w:t>
      </w:r>
    </w:p>
    <w:p w:rsidR="007C0D28" w:rsidRPr="008563CE" w:rsidRDefault="007C0D28" w:rsidP="008563CE">
      <w:pPr>
        <w:spacing w:line="480" w:lineRule="auto"/>
        <w:ind w:left="720" w:hanging="720"/>
        <w:rPr>
          <w:rFonts w:ascii="Times New Roman" w:hAnsi="Times New Roman" w:cs="Times New Roman"/>
          <w:sz w:val="24"/>
          <w:szCs w:val="24"/>
        </w:rPr>
      </w:pPr>
      <w:r w:rsidRPr="008563CE">
        <w:rPr>
          <w:rFonts w:ascii="Times New Roman" w:hAnsi="Times New Roman" w:cs="Times New Roman"/>
          <w:sz w:val="24"/>
          <w:szCs w:val="24"/>
        </w:rPr>
        <w:t>Law, M. T., &amp; Marks, M. S. (2017</w:t>
      </w:r>
      <w:r w:rsidRPr="008563CE">
        <w:rPr>
          <w:rFonts w:ascii="Times New Roman" w:hAnsi="Times New Roman" w:cs="Times New Roman"/>
          <w:i/>
          <w:sz w:val="24"/>
          <w:szCs w:val="24"/>
        </w:rPr>
        <w:t>). The Labor</w:t>
      </w:r>
      <w:r w:rsidRPr="008563CE">
        <w:rPr>
          <w:rFonts w:ascii="Cambria Math" w:hAnsi="Cambria Math" w:cs="Cambria Math"/>
          <w:i/>
          <w:sz w:val="24"/>
          <w:szCs w:val="24"/>
        </w:rPr>
        <w:t>‐</w:t>
      </w:r>
      <w:r w:rsidRPr="008563CE">
        <w:rPr>
          <w:rFonts w:ascii="Times New Roman" w:hAnsi="Times New Roman" w:cs="Times New Roman"/>
          <w:i/>
          <w:sz w:val="24"/>
          <w:szCs w:val="24"/>
        </w:rPr>
        <w:t>Market Effects of Occupational Licensing Laws in Nursing. Industrial Relations</w:t>
      </w:r>
      <w:r w:rsidRPr="008563CE">
        <w:rPr>
          <w:rFonts w:ascii="Times New Roman" w:hAnsi="Times New Roman" w:cs="Times New Roman"/>
          <w:sz w:val="24"/>
          <w:szCs w:val="24"/>
        </w:rPr>
        <w:t>: A Journal of Economy and Society.</w:t>
      </w:r>
    </w:p>
    <w:p w:rsidR="007C0D28" w:rsidRPr="008563CE" w:rsidRDefault="007C0D28" w:rsidP="008563CE">
      <w:pPr>
        <w:spacing w:line="480" w:lineRule="auto"/>
        <w:ind w:left="720" w:hanging="720"/>
        <w:rPr>
          <w:rFonts w:ascii="Times New Roman" w:hAnsi="Times New Roman" w:cs="Times New Roman"/>
          <w:sz w:val="24"/>
          <w:szCs w:val="24"/>
        </w:rPr>
      </w:pPr>
      <w:r w:rsidRPr="008563CE">
        <w:rPr>
          <w:rFonts w:ascii="Times New Roman" w:hAnsi="Times New Roman" w:cs="Times New Roman"/>
          <w:sz w:val="24"/>
          <w:szCs w:val="24"/>
        </w:rPr>
        <w:t xml:space="preserve">Runst, P. (2018). </w:t>
      </w:r>
      <w:r w:rsidRPr="008563CE">
        <w:rPr>
          <w:rFonts w:ascii="Times New Roman" w:hAnsi="Times New Roman" w:cs="Times New Roman"/>
          <w:i/>
          <w:sz w:val="24"/>
          <w:szCs w:val="24"/>
        </w:rPr>
        <w:t>The effect of occupational licensing deregulation on migrants in the German skilled crafts sector</w:t>
      </w:r>
      <w:r w:rsidRPr="008563CE">
        <w:rPr>
          <w:rFonts w:ascii="Times New Roman" w:hAnsi="Times New Roman" w:cs="Times New Roman"/>
          <w:sz w:val="24"/>
          <w:szCs w:val="24"/>
        </w:rPr>
        <w:t>. European Journal of Law and Economics.</w:t>
      </w:r>
    </w:p>
    <w:p w:rsidR="007C0D28" w:rsidRPr="008563CE" w:rsidRDefault="007C0D28" w:rsidP="008563CE">
      <w:pPr>
        <w:spacing w:line="480" w:lineRule="auto"/>
        <w:ind w:left="720" w:hanging="720"/>
        <w:rPr>
          <w:rFonts w:ascii="Times New Roman" w:hAnsi="Times New Roman" w:cs="Times New Roman"/>
          <w:sz w:val="24"/>
          <w:szCs w:val="24"/>
        </w:rPr>
      </w:pPr>
      <w:r w:rsidRPr="008563CE">
        <w:rPr>
          <w:rFonts w:ascii="Times New Roman" w:hAnsi="Times New Roman" w:cs="Times New Roman"/>
          <w:sz w:val="24"/>
          <w:szCs w:val="24"/>
        </w:rPr>
        <w:t xml:space="preserve">Tu, R. K. (2018). </w:t>
      </w:r>
      <w:r w:rsidRPr="00A34168">
        <w:rPr>
          <w:rFonts w:ascii="Times New Roman" w:hAnsi="Times New Roman" w:cs="Times New Roman"/>
          <w:sz w:val="24"/>
          <w:szCs w:val="24"/>
        </w:rPr>
        <w:t xml:space="preserve">Legislative, payment policy milestones of racial inequality in health care: </w:t>
      </w:r>
      <w:r w:rsidRPr="00A34168">
        <w:rPr>
          <w:rFonts w:ascii="Times New Roman" w:hAnsi="Times New Roman" w:cs="Times New Roman"/>
          <w:i/>
          <w:sz w:val="24"/>
          <w:szCs w:val="24"/>
        </w:rPr>
        <w:t>Medicare and Medicaid as the final catalyst</w:t>
      </w:r>
      <w:r w:rsidRPr="008563CE">
        <w:rPr>
          <w:rFonts w:ascii="Times New Roman" w:hAnsi="Times New Roman" w:cs="Times New Roman"/>
          <w:sz w:val="24"/>
          <w:szCs w:val="24"/>
        </w:rPr>
        <w:t>. Journal of the American College of Radiology.</w:t>
      </w:r>
    </w:p>
    <w:p w:rsidR="00D57ECE" w:rsidRPr="008563CE" w:rsidRDefault="00D57ECE" w:rsidP="008563CE">
      <w:pPr>
        <w:spacing w:line="480" w:lineRule="auto"/>
        <w:rPr>
          <w:rFonts w:ascii="Times New Roman" w:hAnsi="Times New Roman" w:cs="Times New Roman"/>
          <w:sz w:val="24"/>
          <w:szCs w:val="24"/>
        </w:rPr>
      </w:pPr>
    </w:p>
    <w:p w:rsidR="00D57ECE" w:rsidRPr="008563CE" w:rsidRDefault="00D57ECE" w:rsidP="008563CE">
      <w:pPr>
        <w:spacing w:line="480" w:lineRule="auto"/>
        <w:rPr>
          <w:rFonts w:ascii="Times New Roman" w:hAnsi="Times New Roman" w:cs="Times New Roman"/>
          <w:sz w:val="24"/>
          <w:szCs w:val="24"/>
        </w:rPr>
      </w:pPr>
    </w:p>
    <w:p w:rsidR="00D57ECE" w:rsidRPr="008563CE" w:rsidRDefault="00D57ECE" w:rsidP="008563CE">
      <w:pPr>
        <w:spacing w:line="480" w:lineRule="auto"/>
        <w:rPr>
          <w:rFonts w:ascii="Times New Roman" w:hAnsi="Times New Roman" w:cs="Times New Roman"/>
          <w:sz w:val="24"/>
          <w:szCs w:val="24"/>
        </w:rPr>
      </w:pPr>
    </w:p>
    <w:p w:rsidR="00D57ECE" w:rsidRPr="008563CE" w:rsidRDefault="00D57ECE" w:rsidP="008563CE">
      <w:pPr>
        <w:spacing w:line="480" w:lineRule="auto"/>
        <w:rPr>
          <w:rFonts w:ascii="Times New Roman" w:hAnsi="Times New Roman" w:cs="Times New Roman"/>
          <w:sz w:val="24"/>
          <w:szCs w:val="24"/>
        </w:rPr>
      </w:pPr>
    </w:p>
    <w:p w:rsidR="00D57ECE" w:rsidRPr="008563CE" w:rsidRDefault="00D57ECE" w:rsidP="008563CE">
      <w:pPr>
        <w:spacing w:line="480" w:lineRule="auto"/>
        <w:rPr>
          <w:rFonts w:ascii="Times New Roman" w:hAnsi="Times New Roman" w:cs="Times New Roman"/>
          <w:sz w:val="24"/>
          <w:szCs w:val="24"/>
        </w:rPr>
      </w:pPr>
    </w:p>
    <w:p w:rsidR="00D57ECE" w:rsidRPr="008563CE" w:rsidRDefault="00D57ECE" w:rsidP="008563CE">
      <w:pPr>
        <w:spacing w:line="480" w:lineRule="auto"/>
        <w:rPr>
          <w:rFonts w:ascii="Times New Roman" w:hAnsi="Times New Roman" w:cs="Times New Roman"/>
          <w:sz w:val="24"/>
          <w:szCs w:val="24"/>
        </w:rPr>
      </w:pPr>
    </w:p>
    <w:p w:rsidR="00CE32FC" w:rsidRPr="008563CE" w:rsidRDefault="00CE32FC" w:rsidP="008563CE">
      <w:pPr>
        <w:spacing w:line="480" w:lineRule="auto"/>
        <w:rPr>
          <w:rFonts w:ascii="Times New Roman" w:hAnsi="Times New Roman" w:cs="Times New Roman"/>
          <w:sz w:val="24"/>
          <w:szCs w:val="24"/>
        </w:rPr>
      </w:pPr>
    </w:p>
    <w:sectPr w:rsidR="00CE32FC" w:rsidRPr="008563CE" w:rsidSect="007C0D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49BC" w:rsidRDefault="00EA49BC" w:rsidP="007C0D28">
      <w:pPr>
        <w:spacing w:after="0" w:line="240" w:lineRule="auto"/>
      </w:pPr>
      <w:r>
        <w:separator/>
      </w:r>
    </w:p>
  </w:endnote>
  <w:endnote w:type="continuationSeparator" w:id="1">
    <w:p w:rsidR="00EA49BC" w:rsidRDefault="00EA49BC" w:rsidP="007C0D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49BC" w:rsidRDefault="00EA49BC" w:rsidP="007C0D28">
      <w:pPr>
        <w:spacing w:after="0" w:line="240" w:lineRule="auto"/>
      </w:pPr>
      <w:r>
        <w:separator/>
      </w:r>
    </w:p>
  </w:footnote>
  <w:footnote w:type="continuationSeparator" w:id="1">
    <w:p w:rsidR="00EA49BC" w:rsidRDefault="00EA49BC" w:rsidP="007C0D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D28" w:rsidRPr="007C0D28" w:rsidRDefault="007C0D28">
    <w:pPr>
      <w:pStyle w:val="Header"/>
      <w:rPr>
        <w:rFonts w:ascii="Times New Roman" w:hAnsi="Times New Roman" w:cs="Times New Roman"/>
        <w:sz w:val="24"/>
        <w:szCs w:val="24"/>
      </w:rPr>
    </w:pPr>
    <w:r w:rsidRPr="007C0D28">
      <w:rPr>
        <w:rFonts w:ascii="Times New Roman" w:hAnsi="Times New Roman" w:cs="Times New Roman"/>
        <w:sz w:val="24"/>
        <w:szCs w:val="24"/>
      </w:rPr>
      <w:t>SIMKINS V. M</w:t>
    </w:r>
    <w:r>
      <w:rPr>
        <w:rFonts w:ascii="Times New Roman" w:hAnsi="Times New Roman" w:cs="Times New Roman"/>
        <w:sz w:val="24"/>
        <w:szCs w:val="24"/>
      </w:rPr>
      <w:t>OSES H. CONE MEMORIAL HOSPITAL</w:t>
    </w:r>
    <w:r>
      <w:rPr>
        <w:rFonts w:ascii="Times New Roman" w:hAnsi="Times New Roman" w:cs="Times New Roman"/>
        <w:sz w:val="24"/>
        <w:szCs w:val="24"/>
      </w:rPr>
      <w:tab/>
    </w:r>
    <w:r w:rsidR="00164C39" w:rsidRPr="007C0D28">
      <w:rPr>
        <w:rFonts w:ascii="Times New Roman" w:hAnsi="Times New Roman" w:cs="Times New Roman"/>
        <w:sz w:val="24"/>
        <w:szCs w:val="24"/>
      </w:rPr>
      <w:fldChar w:fldCharType="begin"/>
    </w:r>
    <w:r w:rsidRPr="007C0D28">
      <w:rPr>
        <w:rFonts w:ascii="Times New Roman" w:hAnsi="Times New Roman" w:cs="Times New Roman"/>
        <w:sz w:val="24"/>
        <w:szCs w:val="24"/>
      </w:rPr>
      <w:instrText xml:space="preserve"> PAGE   \* MERGEFORMAT </w:instrText>
    </w:r>
    <w:r w:rsidR="00164C39" w:rsidRPr="007C0D28">
      <w:rPr>
        <w:rFonts w:ascii="Times New Roman" w:hAnsi="Times New Roman" w:cs="Times New Roman"/>
        <w:sz w:val="24"/>
        <w:szCs w:val="24"/>
      </w:rPr>
      <w:fldChar w:fldCharType="separate"/>
    </w:r>
    <w:r w:rsidR="00F46856">
      <w:rPr>
        <w:rFonts w:ascii="Times New Roman" w:hAnsi="Times New Roman" w:cs="Times New Roman"/>
        <w:noProof/>
        <w:sz w:val="24"/>
        <w:szCs w:val="24"/>
      </w:rPr>
      <w:t>5</w:t>
    </w:r>
    <w:r w:rsidR="00164C39" w:rsidRPr="007C0D28">
      <w:rPr>
        <w:rFonts w:ascii="Times New Roman" w:hAnsi="Times New Roman" w:cs="Times New Roman"/>
        <w:noProof/>
        <w:sz w:val="24"/>
        <w:szCs w:val="24"/>
      </w:rPr>
      <w:fldChar w:fldCharType="end"/>
    </w:r>
  </w:p>
  <w:p w:rsidR="007C0D28" w:rsidRDefault="007C0D2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D28" w:rsidRPr="007C0D28" w:rsidRDefault="007C0D28">
    <w:pPr>
      <w:pStyle w:val="Header"/>
      <w:rPr>
        <w:rFonts w:ascii="Times New Roman" w:hAnsi="Times New Roman" w:cs="Times New Roman"/>
        <w:sz w:val="24"/>
        <w:szCs w:val="24"/>
      </w:rPr>
    </w:pPr>
    <w:r w:rsidRPr="007C0D28">
      <w:rPr>
        <w:rFonts w:ascii="Times New Roman" w:hAnsi="Times New Roman" w:cs="Times New Roman"/>
        <w:sz w:val="24"/>
        <w:szCs w:val="24"/>
      </w:rPr>
      <w:t>Running head: SIMKINS V. MOSES H. CONE MEMORIAL HOSPITAL</w:t>
    </w:r>
    <w:r w:rsidRPr="007C0D28">
      <w:rPr>
        <w:rFonts w:ascii="Times New Roman" w:hAnsi="Times New Roman" w:cs="Times New Roman"/>
        <w:sz w:val="24"/>
        <w:szCs w:val="24"/>
      </w:rPr>
      <w:tab/>
    </w:r>
    <w:r w:rsidR="00164C39" w:rsidRPr="007C0D28">
      <w:rPr>
        <w:rFonts w:ascii="Times New Roman" w:hAnsi="Times New Roman" w:cs="Times New Roman"/>
        <w:sz w:val="24"/>
        <w:szCs w:val="24"/>
      </w:rPr>
      <w:fldChar w:fldCharType="begin"/>
    </w:r>
    <w:r w:rsidRPr="007C0D28">
      <w:rPr>
        <w:rFonts w:ascii="Times New Roman" w:hAnsi="Times New Roman" w:cs="Times New Roman"/>
        <w:sz w:val="24"/>
        <w:szCs w:val="24"/>
      </w:rPr>
      <w:instrText xml:space="preserve"> PAGE   \* MERGEFORMAT </w:instrText>
    </w:r>
    <w:r w:rsidR="00164C39" w:rsidRPr="007C0D28">
      <w:rPr>
        <w:rFonts w:ascii="Times New Roman" w:hAnsi="Times New Roman" w:cs="Times New Roman"/>
        <w:sz w:val="24"/>
        <w:szCs w:val="24"/>
      </w:rPr>
      <w:fldChar w:fldCharType="separate"/>
    </w:r>
    <w:r w:rsidR="00F46856">
      <w:rPr>
        <w:rFonts w:ascii="Times New Roman" w:hAnsi="Times New Roman" w:cs="Times New Roman"/>
        <w:noProof/>
        <w:sz w:val="24"/>
        <w:szCs w:val="24"/>
      </w:rPr>
      <w:t>1</w:t>
    </w:r>
    <w:r w:rsidR="00164C39" w:rsidRPr="007C0D2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969AF"/>
    <w:rsid w:val="00164C39"/>
    <w:rsid w:val="002E2329"/>
    <w:rsid w:val="002E6107"/>
    <w:rsid w:val="003747C0"/>
    <w:rsid w:val="004D79E3"/>
    <w:rsid w:val="004F5DF5"/>
    <w:rsid w:val="0052494D"/>
    <w:rsid w:val="007969AF"/>
    <w:rsid w:val="007C0D28"/>
    <w:rsid w:val="00837720"/>
    <w:rsid w:val="008563CE"/>
    <w:rsid w:val="00890F10"/>
    <w:rsid w:val="008F149D"/>
    <w:rsid w:val="00A14068"/>
    <w:rsid w:val="00A34168"/>
    <w:rsid w:val="00A911BF"/>
    <w:rsid w:val="00B50249"/>
    <w:rsid w:val="00BD04A6"/>
    <w:rsid w:val="00BD0CE2"/>
    <w:rsid w:val="00CE32FC"/>
    <w:rsid w:val="00D01783"/>
    <w:rsid w:val="00D57ECE"/>
    <w:rsid w:val="00E259EA"/>
    <w:rsid w:val="00E331B3"/>
    <w:rsid w:val="00EA49BC"/>
    <w:rsid w:val="00F468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7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0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D28"/>
  </w:style>
  <w:style w:type="paragraph" w:styleId="Footer">
    <w:name w:val="footer"/>
    <w:basedOn w:val="Normal"/>
    <w:link w:val="FooterChar"/>
    <w:uiPriority w:val="99"/>
    <w:unhideWhenUsed/>
    <w:rsid w:val="007C0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D28"/>
  </w:style>
</w:styles>
</file>

<file path=word/webSettings.xml><?xml version="1.0" encoding="utf-8"?>
<w:webSettings xmlns:r="http://schemas.openxmlformats.org/officeDocument/2006/relationships" xmlns:w="http://schemas.openxmlformats.org/wordprocessingml/2006/main">
  <w:divs>
    <w:div w:id="361445129">
      <w:bodyDiv w:val="1"/>
      <w:marLeft w:val="0"/>
      <w:marRight w:val="0"/>
      <w:marTop w:val="0"/>
      <w:marBottom w:val="0"/>
      <w:divBdr>
        <w:top w:val="none" w:sz="0" w:space="0" w:color="auto"/>
        <w:left w:val="none" w:sz="0" w:space="0" w:color="auto"/>
        <w:bottom w:val="none" w:sz="0" w:space="0" w:color="auto"/>
        <w:right w:val="none" w:sz="0" w:space="0" w:color="auto"/>
      </w:divBdr>
      <w:divsChild>
        <w:div w:id="821779009">
          <w:marLeft w:val="0"/>
          <w:marRight w:val="0"/>
          <w:marTop w:val="0"/>
          <w:marBottom w:val="0"/>
          <w:divBdr>
            <w:top w:val="none" w:sz="0" w:space="0" w:color="auto"/>
            <w:left w:val="none" w:sz="0" w:space="0" w:color="auto"/>
            <w:bottom w:val="none" w:sz="0" w:space="0" w:color="auto"/>
            <w:right w:val="none" w:sz="0" w:space="0" w:color="auto"/>
          </w:divBdr>
        </w:div>
      </w:divsChild>
    </w:div>
    <w:div w:id="1247109664">
      <w:bodyDiv w:val="1"/>
      <w:marLeft w:val="0"/>
      <w:marRight w:val="0"/>
      <w:marTop w:val="0"/>
      <w:marBottom w:val="0"/>
      <w:divBdr>
        <w:top w:val="none" w:sz="0" w:space="0" w:color="auto"/>
        <w:left w:val="none" w:sz="0" w:space="0" w:color="auto"/>
        <w:bottom w:val="none" w:sz="0" w:space="0" w:color="auto"/>
        <w:right w:val="none" w:sz="0" w:space="0" w:color="auto"/>
      </w:divBdr>
      <w:divsChild>
        <w:div w:id="1079717249">
          <w:marLeft w:val="0"/>
          <w:marRight w:val="0"/>
          <w:marTop w:val="0"/>
          <w:marBottom w:val="0"/>
          <w:divBdr>
            <w:top w:val="none" w:sz="0" w:space="0" w:color="auto"/>
            <w:left w:val="none" w:sz="0" w:space="0" w:color="auto"/>
            <w:bottom w:val="none" w:sz="0" w:space="0" w:color="auto"/>
            <w:right w:val="none" w:sz="0" w:space="0" w:color="auto"/>
          </w:divBdr>
        </w:div>
      </w:divsChild>
    </w:div>
    <w:div w:id="1719090973">
      <w:bodyDiv w:val="1"/>
      <w:marLeft w:val="0"/>
      <w:marRight w:val="0"/>
      <w:marTop w:val="0"/>
      <w:marBottom w:val="0"/>
      <w:divBdr>
        <w:top w:val="none" w:sz="0" w:space="0" w:color="auto"/>
        <w:left w:val="none" w:sz="0" w:space="0" w:color="auto"/>
        <w:bottom w:val="none" w:sz="0" w:space="0" w:color="auto"/>
        <w:right w:val="none" w:sz="0" w:space="0" w:color="auto"/>
      </w:divBdr>
      <w:divsChild>
        <w:div w:id="1963995169">
          <w:marLeft w:val="0"/>
          <w:marRight w:val="0"/>
          <w:marTop w:val="0"/>
          <w:marBottom w:val="0"/>
          <w:divBdr>
            <w:top w:val="none" w:sz="0" w:space="0" w:color="auto"/>
            <w:left w:val="none" w:sz="0" w:space="0" w:color="auto"/>
            <w:bottom w:val="none" w:sz="0" w:space="0" w:color="auto"/>
            <w:right w:val="none" w:sz="0" w:space="0" w:color="auto"/>
          </w:divBdr>
        </w:div>
      </w:divsChild>
    </w:div>
    <w:div w:id="1729569096">
      <w:bodyDiv w:val="1"/>
      <w:marLeft w:val="0"/>
      <w:marRight w:val="0"/>
      <w:marTop w:val="0"/>
      <w:marBottom w:val="0"/>
      <w:divBdr>
        <w:top w:val="none" w:sz="0" w:space="0" w:color="auto"/>
        <w:left w:val="none" w:sz="0" w:space="0" w:color="auto"/>
        <w:bottom w:val="none" w:sz="0" w:space="0" w:color="auto"/>
        <w:right w:val="none" w:sz="0" w:space="0" w:color="auto"/>
      </w:divBdr>
      <w:divsChild>
        <w:div w:id="1889100102">
          <w:marLeft w:val="0"/>
          <w:marRight w:val="0"/>
          <w:marTop w:val="0"/>
          <w:marBottom w:val="0"/>
          <w:divBdr>
            <w:top w:val="none" w:sz="0" w:space="0" w:color="auto"/>
            <w:left w:val="none" w:sz="0" w:space="0" w:color="auto"/>
            <w:bottom w:val="none" w:sz="0" w:space="0" w:color="auto"/>
            <w:right w:val="none" w:sz="0" w:space="0" w:color="auto"/>
          </w:divBdr>
        </w:div>
      </w:divsChild>
    </w:div>
    <w:div w:id="2107186073">
      <w:bodyDiv w:val="1"/>
      <w:marLeft w:val="0"/>
      <w:marRight w:val="0"/>
      <w:marTop w:val="0"/>
      <w:marBottom w:val="0"/>
      <w:divBdr>
        <w:top w:val="none" w:sz="0" w:space="0" w:color="auto"/>
        <w:left w:val="none" w:sz="0" w:space="0" w:color="auto"/>
        <w:bottom w:val="none" w:sz="0" w:space="0" w:color="auto"/>
        <w:right w:val="none" w:sz="0" w:space="0" w:color="auto"/>
      </w:divBdr>
      <w:divsChild>
        <w:div w:id="1176306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2020-03-10T18:58:00Z</dcterms:created>
  <dcterms:modified xsi:type="dcterms:W3CDTF">2020-03-10T18:58:00Z</dcterms:modified>
</cp:coreProperties>
</file>